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湖南省康复辅具技术指导中心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单位预算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楷体_GB2312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楷体_GB2312"/>
          <w:bCs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方正小标宋_GBK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</w:rPr>
        <w:t xml:space="preserve">第一部分 </w:t>
      </w:r>
      <w:r>
        <w:rPr>
          <w:rFonts w:hint="eastAsia" w:eastAsia="方正小标宋_GBK"/>
          <w:b/>
          <w:bCs/>
          <w:color w:val="auto"/>
          <w:kern w:val="0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</w:rPr>
        <w:t>年单位预算说明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</w:rPr>
        <w:t xml:space="preserve">第二部分 </w:t>
      </w:r>
      <w:r>
        <w:rPr>
          <w:rFonts w:hint="eastAsia" w:eastAsia="仿宋_GB2312"/>
          <w:b/>
          <w:bCs/>
          <w:color w:val="auto"/>
          <w:kern w:val="0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</w:rPr>
        <w:t>年单位预算表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1、收支总表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2、收入总表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3、支出总表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6、财政拨款收支总表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7、一般公共预算支出表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8、一般公共预算基本支出表-人员经费（工资福利支出）（按政府预算经济分类）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9、一般公共预算基本支出表-人员经费（工资福利支出）（按部门预算经济分类）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10、一般公共预算基本支出表-人员经费（对个人和家庭的补助）（按政府预算经济分类）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11、一般公共预算基本支出表-人员经费（对个人和家庭的补助）（按部门预算经济分类）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12、一般公共预算基本支出表-人员经费（商品和服务支出）（按政府预算经济分类）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13、一般公共预算基本支出表-人员经费（商品和服务支出）（按部门预算经济分类）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14、一般公共预算“三公”经费支出表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15、政府性基金预算支出表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16、政府性基金预算支出分类汇总表（按政府预算经济分类）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17、政府性基金预算支出分类汇总表（按部门预算经济分类）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18、国有资本经营预算支出表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19、财政专户管理资金预算支出表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20、省级专项资金预算汇总表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21、省级专项资金绩效目标表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22、其他项目支出绩效目标表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23、部门整体支出绩效目标表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注：以上部门预算报表中，空表表示本单位无相关收支情况。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eastAsia="方正小标宋_GBK"/>
          <w:bCs/>
          <w:color w:val="auto"/>
          <w:kern w:val="0"/>
          <w:sz w:val="36"/>
          <w:szCs w:val="36"/>
        </w:rPr>
        <w:t xml:space="preserve">第一部分 </w:t>
      </w:r>
      <w:r>
        <w:rPr>
          <w:rFonts w:hint="eastAsia" w:eastAsia="方正小标宋_GBK"/>
          <w:bCs/>
          <w:color w:val="auto"/>
          <w:kern w:val="0"/>
          <w:sz w:val="36"/>
          <w:szCs w:val="36"/>
          <w:lang w:eastAsia="zh-CN"/>
        </w:rPr>
        <w:t>2022</w:t>
      </w:r>
      <w:r>
        <w:rPr>
          <w:rFonts w:ascii="Times New Roman" w:hAnsi="Times New Roman" w:eastAsia="方正小标宋_GBK"/>
          <w:bCs/>
          <w:color w:val="auto"/>
          <w:kern w:val="0"/>
          <w:sz w:val="36"/>
          <w:szCs w:val="36"/>
        </w:rPr>
        <w:t>年单位预算说明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rPr>
          <w:rFonts w:ascii="Times New Roman" w:hAnsi="Times New Roman" w:eastAsia="黑体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t>一、单位基本概况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6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（一）职能职责。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湖南省康复辅具技术指导中心为省民政厅直属公益二类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差额拨款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事业单位，主要是为残障人及失能半失能老年人提供康复护理服务。生产假肢、轮椅车、矫形器等康复辅助器具，提供伤残康复、护理训练以及民政相关业务加工服务。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6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（二）机构设置。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湖南省康复辅具技术指导中心内设党建（人事）综合部、假肢配置部、辅具配置部、事业发展部、财务部、后勤服务部、养老服务部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个职能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6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  <w:lang w:eastAsia="zh-CN"/>
        </w:rPr>
        <w:t>（三）预算单位构成。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只有本级，没有其他预算单位，因此本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预算仅含本级预算。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rPr>
          <w:rFonts w:ascii="Times New Roman" w:hAnsi="Times New Roman" w:eastAsia="黑体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t>二、单位收支总体情况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6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（一）收入预算：</w:t>
      </w:r>
      <w:r>
        <w:rPr>
          <w:rFonts w:ascii="Times New Roman" w:hAnsi="Times New Roman"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color w:val="auto"/>
          <w:sz w:val="32"/>
          <w:szCs w:val="32"/>
        </w:rPr>
        <w:t>年本单位收入预算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2834.55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万元，其中，一般公共预算拨款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734.55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</w:rPr>
        <w:t>政府性基金预算拨款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500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</w:rPr>
        <w:t>万元，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上级财政补助收入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600万元，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事业单位经营收入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00万元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</w:rPr>
        <w:t>。收入较去年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增加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1124.40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</w:rPr>
        <w:t>万元，主要是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一般公共预算拨款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增加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24.4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</w:rPr>
        <w:t>万元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新增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上级财政补助收入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600万元，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事业单位经营收入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增加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500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u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 w:firstLineChars="196"/>
        <w:jc w:val="left"/>
        <w:textAlignment w:val="auto"/>
        <w:rPr>
          <w:rFonts w:ascii="Times New Roman" w:hAnsi="Times New Roman" w:eastAsia="黑体"/>
          <w:b w:val="0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color w:val="auto"/>
          <w:sz w:val="32"/>
          <w:szCs w:val="32"/>
        </w:rPr>
        <w:t>年本单位支出预算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2834.55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万元，其中，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社会保障和就业支出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629.5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卫生健康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45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住房保障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60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其他支出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1100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u w:val="none"/>
        </w:rPr>
        <w:t>。支出较去年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增加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1124.40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  <w:u w:val="none"/>
        </w:rPr>
        <w:t>万元，主要是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社会保障和就业支出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增加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524.40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，其他支出增加600万元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三、一般公共预算拨款支出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color w:val="auto"/>
          <w:sz w:val="32"/>
          <w:szCs w:val="32"/>
        </w:rPr>
        <w:t>年本单位一般公共预算拨款支出预算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34.5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万元。其中，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社会保障和就业支出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29.5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85.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70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 xml:space="preserve"> %；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卫生健康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支出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45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万元，占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6.13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%；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住房保障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60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8.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17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 xml:space="preserve"> %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eastAsia="仿宋_GB2312"/>
          <w:color w:val="auto"/>
          <w:sz w:val="32"/>
          <w:szCs w:val="32"/>
        </w:rPr>
        <w:t>具体安排情况如下：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基本支出：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2022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年本单位基本支出预算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34.55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</w:t>
      </w:r>
      <w:r>
        <w:rPr>
          <w:rFonts w:ascii="Times New Roman" w:hAnsi="Times New Roman" w:eastAsia="仿宋_GB2312"/>
          <w:color w:val="auto"/>
          <w:sz w:val="32"/>
          <w:szCs w:val="32"/>
        </w:rPr>
        <w:t>元，主要是为保障单位机构正常运转、完成日常工作任务而发生的各项支出，包括用于基本工资、津贴补贴等人员经费以及办公费、印刷费、水电费、办公设备购置等公用经费。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项目支出：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2022</w:t>
      </w:r>
      <w:r>
        <w:rPr>
          <w:rFonts w:eastAsia="仿宋_GB2312"/>
          <w:color w:val="auto"/>
          <w:sz w:val="32"/>
          <w:szCs w:val="32"/>
        </w:rPr>
        <w:t>年本单位项目支出预算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四、政府性基金预算支出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hint="default" w:ascii="Times New Roman" w:hAnsi="Times New Roman" w:eastAsia="仿宋_GB2312"/>
          <w:b/>
          <w:color w:val="auto"/>
          <w:sz w:val="32"/>
          <w:szCs w:val="32"/>
          <w:lang w:val="en-US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color w:val="auto"/>
          <w:sz w:val="32"/>
          <w:szCs w:val="32"/>
        </w:rPr>
        <w:t>年本单位政府性基金支出预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1100</w:t>
      </w:r>
      <w:r>
        <w:rPr>
          <w:rFonts w:ascii="Times New Roman" w:hAnsi="Times New Roman"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其中，其他支出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1100万元，占100%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具体安排情况如下：全省特困人员供养服务机构康复和无障碍设施配置服务经费600万元、福彩公益金助残项目500万元。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五、其他重要事项的情况说明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8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（一）机关运行经费：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color w:val="auto"/>
          <w:sz w:val="32"/>
          <w:szCs w:val="32"/>
        </w:rPr>
        <w:t>年本单位机关运行经费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40.5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万元，比上年预算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8"/>
        <w:textAlignment w:val="auto"/>
        <w:rPr>
          <w:rFonts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（二）“三公”经费预算：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color w:val="auto"/>
          <w:sz w:val="32"/>
          <w:szCs w:val="32"/>
        </w:rPr>
        <w:t>年本单位“三公”经费预算数为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万元，其中，公务接待费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万元，公务用车购置及运行费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 xml:space="preserve"> 万元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（其中公务用车购置费0万元，公务用车运行费5万元）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因公出国（境）费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万元。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2022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年“三公”经费预算较上年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1万元，主要是根据厉行节约工作实际需要，调剂减少公务接待费用1万元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</w:t>
      </w:r>
      <w:r>
        <w:rPr>
          <w:rFonts w:hint="eastAsia" w:eastAsia="楷体_GB2312"/>
          <w:b/>
          <w:color w:val="auto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b/>
          <w:color w:val="auto"/>
          <w:sz w:val="32"/>
          <w:szCs w:val="32"/>
        </w:rPr>
        <w:t>）</w:t>
      </w:r>
      <w:r>
        <w:rPr>
          <w:rFonts w:hint="eastAsia" w:eastAsia="楷体_GB2312"/>
          <w:b/>
          <w:color w:val="auto"/>
          <w:sz w:val="32"/>
          <w:szCs w:val="32"/>
          <w:lang w:eastAsia="zh-CN"/>
        </w:rPr>
        <w:t>一般性支出</w:t>
      </w:r>
      <w:r>
        <w:rPr>
          <w:rFonts w:ascii="Times New Roman" w:hAnsi="Times New Roman" w:eastAsia="楷体_GB2312"/>
          <w:b/>
          <w:color w:val="auto"/>
          <w:sz w:val="32"/>
          <w:szCs w:val="32"/>
        </w:rPr>
        <w:t>情况：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color w:val="auto"/>
          <w:sz w:val="32"/>
          <w:szCs w:val="32"/>
        </w:rPr>
        <w:t>年本</w:t>
      </w:r>
      <w:r>
        <w:rPr>
          <w:rFonts w:hint="eastAsia" w:eastAsia="仿宋_GB2312"/>
          <w:color w:val="auto"/>
          <w:sz w:val="32"/>
          <w:szCs w:val="32"/>
          <w:lang w:eastAsia="zh-CN"/>
        </w:rPr>
        <w:t>单位未安排培训、会议、</w:t>
      </w:r>
      <w:r>
        <w:rPr>
          <w:rFonts w:eastAsia="仿宋_GB2312"/>
          <w:color w:val="auto"/>
          <w:kern w:val="0"/>
          <w:sz w:val="32"/>
          <w:szCs w:val="32"/>
        </w:rPr>
        <w:t>节庆、晚会、论坛、赛事活动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，无相关经费预算。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ascii="Times New Roman" w:hAnsi="Times New Roman" w:eastAsia="仿宋_GB2312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（四）政府采购情况：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color w:val="auto"/>
          <w:sz w:val="32"/>
          <w:szCs w:val="32"/>
        </w:rPr>
        <w:t>年本部门政府采购预算总额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520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 xml:space="preserve">万元，其中，货物类采购预算 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520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万元；工程类采购预算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万元；服务类采购预算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color w:val="auto"/>
          <w:sz w:val="32"/>
          <w:szCs w:val="32"/>
        </w:rPr>
        <w:t>（五）国有资产占用使用及新增资产配置情况：</w:t>
      </w:r>
      <w:r>
        <w:rPr>
          <w:rFonts w:ascii="Times New Roman" w:hAnsi="Times New Roman" w:eastAsia="仿宋_GB2312"/>
          <w:color w:val="auto"/>
          <w:sz w:val="32"/>
          <w:szCs w:val="32"/>
        </w:rPr>
        <w:t>截至202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年12月底，本单位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>共有公务用车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>辆，其中特种专业技术用车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>辆；单位价值50万元以上通用设备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1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>台。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eastAsia="zh-CN"/>
        </w:rPr>
        <w:t>2022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 xml:space="preserve">年拟新增配置公务用车 </w:t>
      </w:r>
      <w:r>
        <w:rPr>
          <w:rFonts w:hint="eastAsia" w:ascii="Times New Roman" w:hAnsi="Times New Roman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 xml:space="preserve"> 辆；新增配备单位价值50万元以上通用设备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>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left"/>
        <w:textAlignment w:val="auto"/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</w:pPr>
      <w:r>
        <w:rPr>
          <w:rFonts w:ascii="Times New Roman" w:hAnsi="Times New Roman" w:eastAsia="楷体_GB2312"/>
          <w:b/>
          <w:bCs/>
          <w:color w:val="auto"/>
          <w:kern w:val="0"/>
          <w:sz w:val="32"/>
          <w:szCs w:val="32"/>
        </w:rPr>
        <w:t>（六）预算绩效目标说明：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本单位所有支出实行绩效目标管理。纳入</w:t>
      </w:r>
      <w:r>
        <w:rPr>
          <w:rFonts w:hint="eastAsia" w:eastAsia="仿宋_GB2312"/>
          <w:bCs/>
          <w:color w:val="auto"/>
          <w:kern w:val="0"/>
          <w:sz w:val="32"/>
          <w:szCs w:val="32"/>
          <w:lang w:eastAsia="zh-CN"/>
        </w:rPr>
        <w:t>2022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年单位整体支出绩效目标的金额为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2834.55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>万元，其中，基本支出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734.55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>万元，项目支出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2100</w:t>
      </w: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  <w:u w:val="none"/>
        </w:rPr>
        <w:t>万元，具体绩效目标详见报表。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/>
          <w:bCs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color w:val="auto"/>
          <w:kern w:val="0"/>
          <w:sz w:val="36"/>
          <w:szCs w:val="36"/>
          <w:lang w:eastAsia="zh-CN"/>
        </w:rPr>
        <w:t>2022</w:t>
      </w:r>
      <w:r>
        <w:rPr>
          <w:rFonts w:ascii="Times New Roman" w:hAnsi="Times New Roman" w:eastAsia="方正小标宋_GBK"/>
          <w:bCs/>
          <w:color w:val="auto"/>
          <w:kern w:val="0"/>
          <w:sz w:val="36"/>
          <w:szCs w:val="36"/>
        </w:rPr>
        <w:t>年单位预算表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小标宋_GBK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1、收支总表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2、收入总表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3、支出总表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4、支出预算分类汇总表（按政府预算经济分类）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5、支出预算分类汇总表（按部门预算经济分类）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6、财政拨款收支总表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7、一般公共预算支出表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8、一般公共预算基本支出表-人员经费（工资福利支出）（按政府预算经济分类）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9、一般公共预算基本支出表-人员经费（工资福利支出）（按部门预算经济分类）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10、一般公共预算基本支出表-人员经费（对个人和家庭的补助）（按政府预算经济分类）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11、一般公共预算基本支出表-人员经费（对个人和家庭的补助）（按部门预算经济分类）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12、一般公共预算基本支出表-人员经费（商品和服务支出）（按政府预算经济分类）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13、一般公共预算基本支出表-人员经费（商品和服务支出）（按部门预算经济分类）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14、一般公共预算“三公”经费支出表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15、政府性基金预算支出表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16、政府性基金预算支出分类汇总表（按政府预算经济分类）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17、政府性基金预算支出分类汇总表（按部门预算经济分类）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18、国有资本经营预算支出表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19、财政专户管理资金预算支出表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20、省级专项资金预算汇总表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21、省级专项资金绩效目标表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22、其他项目支出绩效目标表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23、部门整体支出绩效目标表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kern w:val="0"/>
          <w:sz w:val="32"/>
          <w:szCs w:val="32"/>
        </w:rPr>
        <w:t>注：以上部门预算报表中，空表表示本单位无相关收支情况。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  <w:color w:val="auto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E11E1"/>
    <w:multiLevelType w:val="singleLevel"/>
    <w:tmpl w:val="96BE11E1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BB0FD76"/>
    <w:multiLevelType w:val="singleLevel"/>
    <w:tmpl w:val="0BB0FD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2Q1MDIzZDdhODE1OGE2OTI1ODEzNzg5MWNlZjAifQ=="/>
  </w:docVars>
  <w:rsids>
    <w:rsidRoot w:val="00172A27"/>
    <w:rsid w:val="01D769B6"/>
    <w:rsid w:val="036618EA"/>
    <w:rsid w:val="14133B9E"/>
    <w:rsid w:val="18A7062A"/>
    <w:rsid w:val="21A21A16"/>
    <w:rsid w:val="2A486748"/>
    <w:rsid w:val="39764884"/>
    <w:rsid w:val="3EE61E26"/>
    <w:rsid w:val="45BC1AC8"/>
    <w:rsid w:val="47622CD5"/>
    <w:rsid w:val="47C02F38"/>
    <w:rsid w:val="490C6955"/>
    <w:rsid w:val="4BCB4C29"/>
    <w:rsid w:val="58DC3CDC"/>
    <w:rsid w:val="59DB5B2A"/>
    <w:rsid w:val="5DFE339C"/>
    <w:rsid w:val="5E532596"/>
    <w:rsid w:val="62F12E00"/>
    <w:rsid w:val="701966CE"/>
    <w:rsid w:val="76353C45"/>
    <w:rsid w:val="7A363452"/>
    <w:rsid w:val="7A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8</Pages>
  <Words>2682</Words>
  <Characters>2897</Characters>
  <Lines>0</Lines>
  <Paragraphs>0</Paragraphs>
  <TotalTime>3</TotalTime>
  <ScaleCrop>false</ScaleCrop>
  <LinksUpToDate>false</LinksUpToDate>
  <CharactersWithSpaces>2907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WPS_1474190440</cp:lastModifiedBy>
  <cp:lastPrinted>2022-02-22T01:11:00Z</cp:lastPrinted>
  <dcterms:modified xsi:type="dcterms:W3CDTF">2023-09-27T08:21:46Z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2598FDBDD708498288A7967B4EC5DFFC</vt:lpwstr>
  </property>
</Properties>
</file>